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99" w:rsidRPr="0000483C" w:rsidRDefault="00AA1544" w:rsidP="00AA1544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0483C">
        <w:rPr>
          <w:rFonts w:ascii="Arial" w:hAnsi="Arial" w:cs="Arial"/>
          <w:b/>
          <w:i/>
          <w:sz w:val="24"/>
          <w:szCs w:val="24"/>
          <w:u w:val="single"/>
        </w:rPr>
        <w:t>МЕТОДИЧЕСКИЕ РЕКОМЕНДАЦИИ ПО ОРГАНИЗАЦИИ ЛЕТНЕГО ОТДЫХА ДЛЯ НАЧАЛЬНИКОВ ЛАГЕРЕЙ ДНЕВНОГО ПРЕБЫВАНИЯ, ДИРЕКТОРОВ ОБРАЗОВАТЕЛЬНЫХ УЧРЕЖДЕНИЙ</w:t>
      </w:r>
    </w:p>
    <w:p w:rsidR="0000483C" w:rsidRPr="0000483C" w:rsidRDefault="0000483C" w:rsidP="0000483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0483C">
        <w:rPr>
          <w:rFonts w:ascii="Arial" w:hAnsi="Arial" w:cs="Arial"/>
          <w:b/>
          <w:i/>
          <w:sz w:val="24"/>
          <w:szCs w:val="24"/>
        </w:rPr>
        <w:t>(рекомендации РОСПОТРЕБНАДЗОРА (семинар по летнему отдыху 15.05.2015 г.), г</w:t>
      </w:r>
      <w:r w:rsidRPr="0000483C">
        <w:rPr>
          <w:rFonts w:ascii="Arial" w:hAnsi="Arial" w:cs="Arial"/>
          <w:b/>
          <w:sz w:val="24"/>
          <w:szCs w:val="24"/>
        </w:rPr>
        <w:t>игиенические требования к устройству, содержанию и организации режима  в оздоровительных учреждениях с дневным пребыванием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483C">
        <w:rPr>
          <w:rFonts w:ascii="Arial" w:hAnsi="Arial" w:cs="Arial"/>
          <w:b/>
          <w:sz w:val="24"/>
          <w:szCs w:val="24"/>
        </w:rPr>
        <w:t>детей в период каникул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Pr="0000483C">
        <w:rPr>
          <w:rFonts w:ascii="Arial" w:hAnsi="Arial" w:cs="Arial"/>
          <w:b/>
          <w:sz w:val="24"/>
          <w:szCs w:val="24"/>
        </w:rPr>
        <w:t>Санитарно-эпидемиологические правила и нормативы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483C">
        <w:rPr>
          <w:rFonts w:ascii="Arial" w:hAnsi="Arial" w:cs="Arial"/>
          <w:b/>
          <w:sz w:val="24"/>
          <w:szCs w:val="24"/>
        </w:rPr>
        <w:t>СанПиН</w:t>
      </w:r>
      <w:proofErr w:type="spellEnd"/>
      <w:r w:rsidRPr="0000483C">
        <w:rPr>
          <w:rFonts w:ascii="Arial" w:hAnsi="Arial" w:cs="Arial"/>
          <w:b/>
          <w:sz w:val="24"/>
          <w:szCs w:val="24"/>
        </w:rPr>
        <w:t xml:space="preserve"> 2.4.4.2599 -10</w:t>
      </w:r>
      <w:r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AA1544" w:rsidRDefault="00AA1544" w:rsidP="00AA1544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10000"/>
      </w:tblGrid>
      <w:tr w:rsidR="00AA1544" w:rsidTr="00AA1544">
        <w:tc>
          <w:tcPr>
            <w:tcW w:w="4786" w:type="dxa"/>
          </w:tcPr>
          <w:p w:rsidR="00AA1544" w:rsidRDefault="00AA1544" w:rsidP="00AA15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Организация дневного сна</w:t>
            </w:r>
          </w:p>
        </w:tc>
        <w:tc>
          <w:tcPr>
            <w:tcW w:w="10000" w:type="dxa"/>
          </w:tcPr>
          <w:p w:rsidR="0000483C" w:rsidRPr="009D3296" w:rsidRDefault="0000483C" w:rsidP="009D3296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296">
              <w:rPr>
                <w:rFonts w:ascii="Arial" w:hAnsi="Arial" w:cs="Arial"/>
                <w:sz w:val="20"/>
                <w:szCs w:val="20"/>
              </w:rPr>
              <w:t>Спальные помещения оборудуются из расчета не менее 3 кв. м на 1 человека, но не более 15 человек в 1 помещении.</w:t>
            </w:r>
          </w:p>
          <w:p w:rsidR="0000483C" w:rsidRPr="009D3296" w:rsidRDefault="0000483C" w:rsidP="0000483C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296">
              <w:rPr>
                <w:rFonts w:ascii="Arial" w:hAnsi="Arial" w:cs="Arial"/>
                <w:sz w:val="20"/>
                <w:szCs w:val="20"/>
              </w:rPr>
              <w:t xml:space="preserve">Спальные помещения для мальчиков и девочек устраиваются </w:t>
            </w:r>
            <w:proofErr w:type="gramStart"/>
            <w:r w:rsidRPr="009D3296">
              <w:rPr>
                <w:rFonts w:ascii="Arial" w:hAnsi="Arial" w:cs="Arial"/>
                <w:sz w:val="20"/>
                <w:szCs w:val="20"/>
              </w:rPr>
              <w:t>раздельными</w:t>
            </w:r>
            <w:proofErr w:type="gramEnd"/>
            <w:r w:rsidRPr="009D3296">
              <w:rPr>
                <w:rFonts w:ascii="Arial" w:hAnsi="Arial" w:cs="Arial"/>
                <w:sz w:val="20"/>
                <w:szCs w:val="20"/>
              </w:rPr>
              <w:t>, независимо от возраста детей.</w:t>
            </w:r>
          </w:p>
          <w:p w:rsidR="0000483C" w:rsidRPr="009D3296" w:rsidRDefault="0000483C" w:rsidP="0000483C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29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Спальни оборудуют стационарными кроватями (раскладушками) и прикроватными стульями (по числу кроватей). Стационарные 2 и 3 ярусные кровати не используются</w:t>
            </w:r>
            <w:r w:rsidRPr="009D32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483C" w:rsidRPr="009D3296" w:rsidRDefault="0000483C" w:rsidP="0000483C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296">
              <w:rPr>
                <w:rFonts w:ascii="Arial" w:hAnsi="Arial" w:cs="Arial"/>
                <w:sz w:val="20"/>
                <w:szCs w:val="20"/>
              </w:rPr>
              <w:t xml:space="preserve">Каждое спальное место обеспечивается комплектом постельных принадлежностей (матрац с </w:t>
            </w:r>
            <w:proofErr w:type="spellStart"/>
            <w:r w:rsidRPr="009D3296">
              <w:rPr>
                <w:rFonts w:ascii="Arial" w:hAnsi="Arial" w:cs="Arial"/>
                <w:b/>
                <w:sz w:val="20"/>
                <w:szCs w:val="20"/>
                <w:u w:val="single"/>
              </w:rPr>
              <w:t>наматрасником</w:t>
            </w:r>
            <w:proofErr w:type="spellEnd"/>
            <w:r w:rsidRPr="009D3296">
              <w:rPr>
                <w:rFonts w:ascii="Arial" w:hAnsi="Arial" w:cs="Arial"/>
                <w:sz w:val="20"/>
                <w:szCs w:val="20"/>
              </w:rPr>
      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      </w:r>
          </w:p>
          <w:p w:rsidR="00AA1544" w:rsidRDefault="009D3296" w:rsidP="009D3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296">
              <w:rPr>
                <w:rFonts w:ascii="Arial" w:hAnsi="Arial" w:cs="Arial"/>
                <w:sz w:val="20"/>
                <w:szCs w:val="20"/>
              </w:rPr>
              <w:t>Постельное белье должно быть промаркировано!</w:t>
            </w:r>
          </w:p>
          <w:p w:rsidR="009D3296" w:rsidRDefault="009D3296" w:rsidP="009D3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Предпочтительно организовать спальные помещения с северной стороны, в обязательном порядке затенять окна жалюзи, шторами. </w:t>
            </w:r>
          </w:p>
          <w:p w:rsidR="009D3296" w:rsidRDefault="009D3296" w:rsidP="009D3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 сном в обязательном порядке проветривать спальное помещение!!!</w:t>
            </w:r>
          </w:p>
          <w:p w:rsidR="009D3296" w:rsidRDefault="009D3296" w:rsidP="009D3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3296" w:rsidRPr="009D3296" w:rsidRDefault="009D3296" w:rsidP="009A570F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водных закаливающих процедур, мытья ног перед сном</w:t>
            </w:r>
            <w:r w:rsidR="009A570F">
              <w:rPr>
                <w:rFonts w:ascii="Arial" w:hAnsi="Arial" w:cs="Arial"/>
                <w:sz w:val="20"/>
                <w:szCs w:val="20"/>
              </w:rPr>
              <w:t>. На каждого ребенка индивидуальный, промаркированный тазик. Стульчик, желательно тапочки.</w:t>
            </w:r>
          </w:p>
        </w:tc>
      </w:tr>
      <w:tr w:rsidR="00AA1544" w:rsidTr="00AA1544">
        <w:tc>
          <w:tcPr>
            <w:tcW w:w="4786" w:type="dxa"/>
          </w:tcPr>
          <w:p w:rsidR="00AA1544" w:rsidRDefault="009A570F" w:rsidP="00AA15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Туалетные комнаты</w:t>
            </w:r>
          </w:p>
        </w:tc>
        <w:tc>
          <w:tcPr>
            <w:tcW w:w="10000" w:type="dxa"/>
          </w:tcPr>
          <w:p w:rsidR="009A570F" w:rsidRPr="009A570F" w:rsidRDefault="009A570F" w:rsidP="009A570F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0F">
              <w:rPr>
                <w:rFonts w:ascii="Arial" w:hAnsi="Arial" w:cs="Arial"/>
                <w:sz w:val="20"/>
                <w:szCs w:val="20"/>
              </w:rPr>
              <w:t>Туалеты для мальчиков и девочек должны быть раздельными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      </w:r>
          </w:p>
          <w:p w:rsidR="009A570F" w:rsidRPr="009A570F" w:rsidRDefault="009A570F" w:rsidP="009A570F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0F">
              <w:rPr>
                <w:rFonts w:ascii="Arial" w:hAnsi="Arial" w:cs="Arial"/>
                <w:sz w:val="20"/>
                <w:szCs w:val="20"/>
              </w:rPr>
              <w:t xml:space="preserve">Туалеты оборудуются педальными ведрами, держателями для туалетной бумаги, мылом, </w:t>
            </w:r>
            <w:proofErr w:type="spellStart"/>
            <w:r w:rsidRPr="009A570F">
              <w:rPr>
                <w:rFonts w:ascii="Arial" w:hAnsi="Arial" w:cs="Arial"/>
                <w:sz w:val="20"/>
                <w:szCs w:val="20"/>
              </w:rPr>
              <w:t>электр</w:t>
            </w:r>
            <w:proofErr w:type="gramStart"/>
            <w:r w:rsidRPr="009A570F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9A570F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9A570F">
              <w:rPr>
                <w:rFonts w:ascii="Arial" w:hAnsi="Arial" w:cs="Arial"/>
                <w:sz w:val="20"/>
                <w:szCs w:val="20"/>
              </w:rPr>
      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      </w:r>
          </w:p>
          <w:p w:rsidR="00AA1544" w:rsidRPr="009D3296" w:rsidRDefault="00AA1544" w:rsidP="00004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544" w:rsidTr="00AA1544">
        <w:tc>
          <w:tcPr>
            <w:tcW w:w="4786" w:type="dxa"/>
          </w:tcPr>
          <w:p w:rsidR="00AA1544" w:rsidRDefault="0069617E" w:rsidP="0069617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Уборочный инвентарь</w:t>
            </w:r>
          </w:p>
        </w:tc>
        <w:tc>
          <w:tcPr>
            <w:tcW w:w="10000" w:type="dxa"/>
          </w:tcPr>
          <w:p w:rsidR="00AA1544" w:rsidRDefault="0069617E" w:rsidP="00004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617E">
              <w:rPr>
                <w:rFonts w:ascii="Arial" w:hAnsi="Arial" w:cs="Arial"/>
                <w:b/>
                <w:sz w:val="20"/>
                <w:szCs w:val="20"/>
              </w:rPr>
              <w:t>Туалет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9617E" w:rsidRDefault="0069617E" w:rsidP="00004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617E">
              <w:rPr>
                <w:rFonts w:ascii="Arial" w:hAnsi="Arial" w:cs="Arial"/>
                <w:sz w:val="20"/>
                <w:szCs w:val="20"/>
              </w:rPr>
              <w:t xml:space="preserve">- тряпка </w:t>
            </w:r>
            <w:r>
              <w:rPr>
                <w:rFonts w:ascii="Arial" w:hAnsi="Arial" w:cs="Arial"/>
                <w:sz w:val="20"/>
                <w:szCs w:val="20"/>
              </w:rPr>
              <w:t xml:space="preserve">с красной нашивкой </w:t>
            </w:r>
            <w:r w:rsidRPr="0069617E">
              <w:rPr>
                <w:rFonts w:ascii="Arial" w:hAnsi="Arial" w:cs="Arial"/>
                <w:b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AC2116" w:rsidRDefault="00AC2116" w:rsidP="00004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ведро с маркировкой красной краской ТУАЛЕТ.</w:t>
            </w:r>
          </w:p>
          <w:p w:rsidR="00AC2116" w:rsidRDefault="00AC2116" w:rsidP="00004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швабра с маркировкой красной краской </w:t>
            </w:r>
            <w:r w:rsidRPr="00AC2116">
              <w:rPr>
                <w:rFonts w:ascii="Arial" w:hAnsi="Arial" w:cs="Arial"/>
                <w:b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C2116" w:rsidRDefault="00AC2116" w:rsidP="00004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- 5-6 шт. ветоши с красной нашивкой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617E">
              <w:rPr>
                <w:rFonts w:ascii="Arial" w:hAnsi="Arial" w:cs="Arial"/>
                <w:b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2116">
              <w:rPr>
                <w:rFonts w:ascii="Arial" w:hAnsi="Arial" w:cs="Arial"/>
                <w:sz w:val="20"/>
                <w:szCs w:val="20"/>
              </w:rPr>
              <w:t>(для мытья раковин, сиденья унитаза,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стен, ручек).</w:t>
            </w:r>
          </w:p>
          <w:p w:rsidR="00AC2116" w:rsidRDefault="00AC2116" w:rsidP="00AC21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116">
              <w:rPr>
                <w:rFonts w:ascii="Arial" w:hAnsi="Arial" w:cs="Arial"/>
                <w:b/>
                <w:sz w:val="20"/>
                <w:szCs w:val="20"/>
              </w:rPr>
              <w:t>Хранение: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2116">
              <w:rPr>
                <w:rFonts w:ascii="Arial" w:hAnsi="Arial" w:cs="Arial"/>
                <w:sz w:val="20"/>
                <w:szCs w:val="20"/>
              </w:rPr>
              <w:t>выделяется отдельное помещение для хранения уборочного инвентаря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AC2116">
              <w:rPr>
                <w:rFonts w:ascii="Arial" w:hAnsi="Arial" w:cs="Arial"/>
                <w:sz w:val="20"/>
                <w:szCs w:val="20"/>
              </w:rPr>
              <w:t>Уборочный инвентарь для туалета, хранится в этом же помещении, но в отдельном шкафу</w:t>
            </w:r>
            <w:r>
              <w:rPr>
                <w:rFonts w:ascii="Arial" w:hAnsi="Arial" w:cs="Arial"/>
                <w:sz w:val="20"/>
                <w:szCs w:val="20"/>
              </w:rPr>
              <w:t>. В туалете уборочный инвентарь не хранится.</w:t>
            </w:r>
          </w:p>
          <w:p w:rsidR="00AC2116" w:rsidRDefault="00AC2116" w:rsidP="00AC21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2116">
              <w:rPr>
                <w:rFonts w:ascii="Arial" w:hAnsi="Arial" w:cs="Arial"/>
                <w:b/>
                <w:sz w:val="20"/>
                <w:szCs w:val="20"/>
              </w:rPr>
              <w:t>Спальня:</w:t>
            </w:r>
          </w:p>
          <w:p w:rsidR="00AC2116" w:rsidRDefault="00AC2116" w:rsidP="00AC21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116">
              <w:rPr>
                <w:rFonts w:ascii="Arial" w:hAnsi="Arial" w:cs="Arial"/>
                <w:sz w:val="20"/>
                <w:szCs w:val="20"/>
              </w:rPr>
              <w:t>- тряпка, ведро с маркировкой «спальня»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2116" w:rsidRPr="00AC2116" w:rsidRDefault="00AC2116" w:rsidP="00AC21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2116">
              <w:rPr>
                <w:rFonts w:ascii="Arial" w:hAnsi="Arial" w:cs="Arial"/>
                <w:b/>
                <w:sz w:val="20"/>
                <w:szCs w:val="20"/>
              </w:rPr>
              <w:t>Коридор:</w:t>
            </w:r>
          </w:p>
          <w:p w:rsidR="00AC2116" w:rsidRDefault="00AC2116" w:rsidP="00AC21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тряпка, ведро с маркировкой «коридор».</w:t>
            </w:r>
          </w:p>
          <w:p w:rsidR="00AC2116" w:rsidRPr="00AC2116" w:rsidRDefault="00AC2116" w:rsidP="00AC21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2116">
              <w:rPr>
                <w:rFonts w:ascii="Arial" w:hAnsi="Arial" w:cs="Arial"/>
                <w:b/>
                <w:sz w:val="20"/>
                <w:szCs w:val="20"/>
              </w:rPr>
              <w:t>Спортзал:</w:t>
            </w:r>
          </w:p>
          <w:p w:rsidR="00AC2116" w:rsidRDefault="00AC2116" w:rsidP="00AC21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тряпка, ведро с маркировкой «спортзал».</w:t>
            </w:r>
          </w:p>
          <w:p w:rsidR="00AC2116" w:rsidRDefault="00AC2116" w:rsidP="00AC21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2116" w:rsidRDefault="00AC2116" w:rsidP="00AC21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 уборщицы наличие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спец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одежды (сменная обувь, халат, косынка, перчатки)</w:t>
            </w:r>
            <w:r w:rsidR="00B56E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6E10" w:rsidRDefault="00B56E10" w:rsidP="00AC21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6E10" w:rsidRPr="00B56E10" w:rsidRDefault="00B56E10" w:rsidP="00AC21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6E10">
              <w:rPr>
                <w:rFonts w:ascii="Arial" w:hAnsi="Arial" w:cs="Arial"/>
                <w:b/>
                <w:sz w:val="20"/>
                <w:szCs w:val="20"/>
              </w:rPr>
              <w:t>Режим уборки:</w:t>
            </w:r>
          </w:p>
          <w:p w:rsidR="00B56E10" w:rsidRDefault="00B56E10" w:rsidP="00AC21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Влажная уборка – утром и после сна. В конце дня с дезинфицирующими средствами. Генеральная уборка проводится 1 раз в 7 дней или по мере загрязнения.</w:t>
            </w:r>
          </w:p>
          <w:p w:rsidR="00B56E10" w:rsidRDefault="00B56E10" w:rsidP="00AC21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6E10" w:rsidRPr="00AC2116" w:rsidRDefault="00B56E10" w:rsidP="00B56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тех. персоналом провести обучение, санитарный инструктаж перед открытием летних лагерей с дневным пребыванием  под роспись.</w:t>
            </w:r>
          </w:p>
        </w:tc>
      </w:tr>
      <w:tr w:rsidR="00AA1544" w:rsidTr="00AA1544">
        <w:tc>
          <w:tcPr>
            <w:tcW w:w="4786" w:type="dxa"/>
          </w:tcPr>
          <w:p w:rsidR="00AA1544" w:rsidRDefault="00893DA2" w:rsidP="00AA15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Организация питания</w:t>
            </w:r>
          </w:p>
        </w:tc>
        <w:tc>
          <w:tcPr>
            <w:tcW w:w="10000" w:type="dxa"/>
          </w:tcPr>
          <w:p w:rsidR="00893DA2" w:rsidRPr="00893DA2" w:rsidRDefault="00893DA2" w:rsidP="00893DA2">
            <w:pPr>
              <w:pStyle w:val="a4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DA2">
              <w:rPr>
                <w:rFonts w:ascii="Arial" w:hAnsi="Arial" w:cs="Arial"/>
                <w:b/>
                <w:sz w:val="20"/>
                <w:szCs w:val="20"/>
                <w:u w:val="single"/>
              </w:rPr>
              <w:t>Входной контроль.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893DA2">
              <w:rPr>
                <w:rFonts w:ascii="Arial" w:hAnsi="Arial" w:cs="Arial"/>
                <w:sz w:val="20"/>
                <w:szCs w:val="20"/>
              </w:rPr>
              <w:t>Поступление продуктов питания на склад.</w:t>
            </w:r>
          </w:p>
          <w:p w:rsidR="00893DA2" w:rsidRDefault="00893DA2" w:rsidP="00893DA2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Все продукты должны иметь маркировку (ярлык: наименование, дата изготовления, срок годности, производитель, условия хранения), сопроводительный документ (сертификат, ветеринарное свидетельство, удостоверение, информация от производителя).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сопроводительных документах, поставщик ставит свою печать (тем самым берет на себя также ответственность за предоставляемые сопроводительные документы). «Журнал бракеража поступающей продукции».</w:t>
            </w:r>
          </w:p>
          <w:p w:rsidR="00893DA2" w:rsidRDefault="00893DA2" w:rsidP="00893DA2">
            <w:pPr>
              <w:pStyle w:val="a4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DA2">
              <w:rPr>
                <w:rFonts w:ascii="Arial" w:hAnsi="Arial" w:cs="Arial"/>
                <w:b/>
                <w:sz w:val="20"/>
                <w:szCs w:val="20"/>
                <w:u w:val="single"/>
              </w:rPr>
              <w:t>Срединный контроль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3DA2" w:rsidRDefault="00C336EA" w:rsidP="00893DA2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Условия хранения продуктов (температурный режим, срок годности). «Журнал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работой холодильного оборудования». </w:t>
            </w:r>
          </w:p>
          <w:p w:rsidR="00C336EA" w:rsidRDefault="00C336EA" w:rsidP="00893DA2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циклического меню.</w:t>
            </w:r>
          </w:p>
          <w:p w:rsidR="00C336EA" w:rsidRDefault="00C336EA" w:rsidP="00C336EA">
            <w:pPr>
              <w:pStyle w:val="a4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36EA">
              <w:rPr>
                <w:rFonts w:ascii="Arial" w:hAnsi="Arial" w:cs="Arial"/>
                <w:b/>
                <w:sz w:val="20"/>
                <w:szCs w:val="20"/>
                <w:u w:val="single"/>
              </w:rPr>
              <w:t>Выходной контроль.</w:t>
            </w:r>
          </w:p>
          <w:p w:rsidR="00C336EA" w:rsidRPr="00C336EA" w:rsidRDefault="00C336EA" w:rsidP="00C336E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бракеражной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комиссии. «Журнал бракеража готовой продукции»  (приказ, 3 человека, оценивается каждое блюдо и в журнале напротив каждого блюда ставится отметка «разрешаю», либо «не разрешаю»). «Журнал витаминизации 3 и сладких блюд» (приказ об ответственном  лице за проведение витаминизации).</w:t>
            </w:r>
          </w:p>
          <w:p w:rsidR="00C336EA" w:rsidRDefault="00F648A3" w:rsidP="00F648A3">
            <w:pPr>
              <w:pStyle w:val="a4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Сотрудники пищеблока </w:t>
            </w:r>
          </w:p>
          <w:p w:rsidR="00F648A3" w:rsidRDefault="00F648A3" w:rsidP="00F648A3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8A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в наличии иметь 3 комплекта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спец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одежды. Халат, колпак или шапочка, или косынка (не пилотка).</w:t>
            </w:r>
          </w:p>
          <w:p w:rsidR="00F648A3" w:rsidRDefault="00F648A3" w:rsidP="00F648A3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90671">
              <w:rPr>
                <w:rFonts w:ascii="Arial" w:hAnsi="Arial" w:cs="Arial"/>
                <w:sz w:val="20"/>
                <w:szCs w:val="20"/>
              </w:rPr>
              <w:t>сменная обувь закрытая.</w:t>
            </w:r>
          </w:p>
          <w:p w:rsidR="00D90671" w:rsidRDefault="00D90671" w:rsidP="00F648A3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отсутствие ювелирных украшений.</w:t>
            </w:r>
          </w:p>
          <w:p w:rsidR="00F648A3" w:rsidRPr="00F648A3" w:rsidRDefault="00F648A3" w:rsidP="00F648A3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36EA" w:rsidRPr="00C336EA" w:rsidRDefault="00C336EA" w:rsidP="00C336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544" w:rsidTr="00D90671">
        <w:trPr>
          <w:trHeight w:val="2141"/>
        </w:trPr>
        <w:tc>
          <w:tcPr>
            <w:tcW w:w="4786" w:type="dxa"/>
          </w:tcPr>
          <w:p w:rsidR="00AA1544" w:rsidRDefault="00D90671" w:rsidP="00AA15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Питьевой режим</w:t>
            </w:r>
          </w:p>
        </w:tc>
        <w:tc>
          <w:tcPr>
            <w:tcW w:w="10000" w:type="dxa"/>
          </w:tcPr>
          <w:p w:rsidR="00AA1544" w:rsidRDefault="00D90671" w:rsidP="00D90671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 о назначении ответственного лица</w:t>
            </w:r>
            <w:r w:rsidR="006125E0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gramStart"/>
            <w:r w:rsidR="006125E0">
              <w:rPr>
                <w:rFonts w:ascii="Arial" w:hAnsi="Arial" w:cs="Arial"/>
                <w:sz w:val="20"/>
                <w:szCs w:val="20"/>
              </w:rPr>
              <w:t>контролю за</w:t>
            </w:r>
            <w:proofErr w:type="gramEnd"/>
            <w:r w:rsidR="006125E0">
              <w:rPr>
                <w:rFonts w:ascii="Arial" w:hAnsi="Arial" w:cs="Arial"/>
                <w:sz w:val="20"/>
                <w:szCs w:val="20"/>
              </w:rPr>
              <w:t xml:space="preserve"> питьевой водой (вложить в журнал)</w:t>
            </w:r>
          </w:p>
          <w:p w:rsidR="00D90671" w:rsidRDefault="00D90671" w:rsidP="00D90671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Журнал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водой </w:t>
            </w:r>
          </w:p>
          <w:p w:rsidR="00D90671" w:rsidRDefault="00D90671" w:rsidP="00D90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65"/>
              <w:gridCol w:w="2196"/>
              <w:gridCol w:w="1710"/>
              <w:gridCol w:w="1368"/>
              <w:gridCol w:w="1505"/>
              <w:gridCol w:w="1290"/>
              <w:gridCol w:w="1140"/>
            </w:tblGrid>
            <w:tr w:rsidR="00D90671" w:rsidRPr="00D90671" w:rsidTr="00D90671">
              <w:tc>
                <w:tcPr>
                  <w:tcW w:w="595" w:type="dxa"/>
                </w:tcPr>
                <w:p w:rsidR="00D90671" w:rsidRPr="00D90671" w:rsidRDefault="00D90671" w:rsidP="00D9067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671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411" w:type="dxa"/>
                </w:tcPr>
                <w:p w:rsidR="00D90671" w:rsidRPr="00D90671" w:rsidRDefault="00D90671" w:rsidP="00D9067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671">
                    <w:rPr>
                      <w:rFonts w:ascii="Arial" w:hAnsi="Arial" w:cs="Arial"/>
                      <w:sz w:val="18"/>
                      <w:szCs w:val="18"/>
                    </w:rPr>
                    <w:t>Название питьевой воды</w:t>
                  </w:r>
                </w:p>
              </w:tc>
              <w:tc>
                <w:tcPr>
                  <w:tcW w:w="1746" w:type="dxa"/>
                </w:tcPr>
                <w:p w:rsidR="00D90671" w:rsidRPr="00D90671" w:rsidRDefault="00D90671" w:rsidP="00D9067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671">
                    <w:rPr>
                      <w:rFonts w:ascii="Arial" w:hAnsi="Arial" w:cs="Arial"/>
                      <w:sz w:val="18"/>
                      <w:szCs w:val="18"/>
                    </w:rPr>
                    <w:t xml:space="preserve">Производитель </w:t>
                  </w:r>
                </w:p>
              </w:tc>
              <w:tc>
                <w:tcPr>
                  <w:tcW w:w="1372" w:type="dxa"/>
                </w:tcPr>
                <w:p w:rsidR="00D90671" w:rsidRPr="00D90671" w:rsidRDefault="00D90671" w:rsidP="00D9067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Дата изготовления</w:t>
                  </w:r>
                </w:p>
              </w:tc>
              <w:tc>
                <w:tcPr>
                  <w:tcW w:w="1559" w:type="dxa"/>
                </w:tcPr>
                <w:p w:rsidR="00D90671" w:rsidRPr="00D90671" w:rsidRDefault="00D90671" w:rsidP="00D9067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Срок реализации (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согласно документа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41" w:type="dxa"/>
                  <w:tcBorders>
                    <w:right w:val="single" w:sz="4" w:space="0" w:color="auto"/>
                  </w:tcBorders>
                </w:tcPr>
                <w:p w:rsidR="00D90671" w:rsidRPr="00D90671" w:rsidRDefault="00D90671" w:rsidP="00D9067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Срок фактической реализации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:rsidR="00D90671" w:rsidRPr="00D90671" w:rsidRDefault="00D90671" w:rsidP="00D9067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Дата обработки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кулера</w:t>
                  </w:r>
                  <w:proofErr w:type="spellEnd"/>
                </w:p>
              </w:tc>
            </w:tr>
            <w:tr w:rsidR="00D90671" w:rsidTr="00D90671">
              <w:tc>
                <w:tcPr>
                  <w:tcW w:w="595" w:type="dxa"/>
                </w:tcPr>
                <w:p w:rsidR="00D90671" w:rsidRDefault="00D90671" w:rsidP="00D9067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1" w:type="dxa"/>
                </w:tcPr>
                <w:p w:rsidR="00D90671" w:rsidRDefault="00D90671" w:rsidP="00D9067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</w:tcPr>
                <w:p w:rsidR="00D90671" w:rsidRDefault="00D90671" w:rsidP="00D9067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:rsidR="00D90671" w:rsidRDefault="00D90671" w:rsidP="00D9067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90671" w:rsidRDefault="00D90671" w:rsidP="00D9067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right w:val="single" w:sz="4" w:space="0" w:color="auto"/>
                  </w:tcBorders>
                </w:tcPr>
                <w:p w:rsidR="00D90671" w:rsidRDefault="00D90671" w:rsidP="00D9067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:rsidR="00D90671" w:rsidRDefault="00D90671" w:rsidP="00D9067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90671" w:rsidRDefault="00D90671" w:rsidP="00D90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671" w:rsidRDefault="00D90671" w:rsidP="006125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Методика обработки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имеется в интернете, распечатать</w:t>
            </w:r>
            <w:r w:rsidR="006125E0">
              <w:rPr>
                <w:rFonts w:ascii="Arial" w:hAnsi="Arial" w:cs="Arial"/>
                <w:sz w:val="20"/>
                <w:szCs w:val="20"/>
              </w:rPr>
              <w:t xml:space="preserve">, повесить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5E0">
              <w:rPr>
                <w:rFonts w:ascii="Arial" w:hAnsi="Arial" w:cs="Arial"/>
                <w:sz w:val="20"/>
                <w:szCs w:val="20"/>
              </w:rPr>
              <w:t xml:space="preserve">в месте установки </w:t>
            </w:r>
            <w:proofErr w:type="spellStart"/>
            <w:r w:rsidR="006125E0">
              <w:rPr>
                <w:rFonts w:ascii="Arial" w:hAnsi="Arial" w:cs="Arial"/>
                <w:sz w:val="20"/>
                <w:szCs w:val="20"/>
              </w:rPr>
              <w:t>кулера</w:t>
            </w:r>
            <w:proofErr w:type="spellEnd"/>
            <w:r w:rsidR="006125E0">
              <w:rPr>
                <w:rFonts w:ascii="Arial" w:hAnsi="Arial" w:cs="Arial"/>
                <w:sz w:val="20"/>
                <w:szCs w:val="20"/>
              </w:rPr>
              <w:t>, вложить в журнал. В журнал также вложить сертификаты по воде.</w:t>
            </w:r>
          </w:p>
          <w:p w:rsidR="006125E0" w:rsidRDefault="006125E0" w:rsidP="006125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25E0" w:rsidRDefault="006125E0" w:rsidP="006125E0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Питьевые фонтанчики. Иметь заключения лабораторного исследования воды.</w:t>
            </w:r>
          </w:p>
          <w:p w:rsidR="006125E0" w:rsidRPr="006125E0" w:rsidRDefault="006125E0" w:rsidP="006125E0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Определиться по стаканам. Либо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одноразовые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но предпочтительнее иметь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держателем стаканов. Либо стеклянные стаканы (на подносах «грязные» и «чистые»).</w:t>
            </w:r>
          </w:p>
        </w:tc>
      </w:tr>
    </w:tbl>
    <w:p w:rsidR="00AA1544" w:rsidRPr="00AA1544" w:rsidRDefault="00AA1544" w:rsidP="00AA1544">
      <w:pPr>
        <w:jc w:val="center"/>
        <w:rPr>
          <w:rFonts w:ascii="Arial" w:hAnsi="Arial" w:cs="Arial"/>
          <w:b/>
          <w:i/>
          <w:sz w:val="28"/>
          <w:szCs w:val="28"/>
        </w:rPr>
      </w:pPr>
    </w:p>
    <w:sectPr w:rsidR="00AA1544" w:rsidRPr="00AA1544" w:rsidSect="001E0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54DB"/>
    <w:multiLevelType w:val="hybridMultilevel"/>
    <w:tmpl w:val="930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0962"/>
    <w:multiLevelType w:val="hybridMultilevel"/>
    <w:tmpl w:val="8298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70F33"/>
    <w:multiLevelType w:val="hybridMultilevel"/>
    <w:tmpl w:val="1C6223D2"/>
    <w:lvl w:ilvl="0" w:tplc="9E7A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490379"/>
    <w:multiLevelType w:val="hybridMultilevel"/>
    <w:tmpl w:val="78E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721"/>
    <w:rsid w:val="0000483C"/>
    <w:rsid w:val="001E0721"/>
    <w:rsid w:val="006125E0"/>
    <w:rsid w:val="0069617E"/>
    <w:rsid w:val="00824013"/>
    <w:rsid w:val="00893DA2"/>
    <w:rsid w:val="008C5299"/>
    <w:rsid w:val="009A570F"/>
    <w:rsid w:val="009D3296"/>
    <w:rsid w:val="00AA1544"/>
    <w:rsid w:val="00AC2116"/>
    <w:rsid w:val="00B56E10"/>
    <w:rsid w:val="00C336EA"/>
    <w:rsid w:val="00D90671"/>
    <w:rsid w:val="00F6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скат</cp:lastModifiedBy>
  <cp:revision>5</cp:revision>
  <cp:lastPrinted>2015-05-18T04:00:00Z</cp:lastPrinted>
  <dcterms:created xsi:type="dcterms:W3CDTF">2015-05-15T08:06:00Z</dcterms:created>
  <dcterms:modified xsi:type="dcterms:W3CDTF">2015-05-18T04:02:00Z</dcterms:modified>
</cp:coreProperties>
</file>